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FFFFFF"/>
        <w:tabs>
          <w:tab w:val="clear" w:pos="708"/>
          <w:tab w:val="left" w:pos="3969" w:leader="none"/>
        </w:tabs>
        <w:jc w:val="center"/>
        <w:rPr>
          <w:rFonts w:cs="Tahoma"/>
          <w:b/>
          <w:bCs/>
          <w:color w:val="000000"/>
          <w:spacing w:val="2"/>
        </w:rPr>
      </w:pPr>
      <w:r>
        <w:rPr>
          <w:rFonts w:cs="Tahoma"/>
          <w:b/>
          <w:bCs/>
          <w:color w:val="000000"/>
          <w:spacing w:val="2"/>
        </w:rPr>
        <w:t>ПРОЕКТ ПАСПОРТА</w:t>
      </w:r>
    </w:p>
    <w:p>
      <w:pPr>
        <w:pStyle w:val="Normal"/>
        <w:shd w:val="clear" w:color="auto" w:fill="FFFFFF"/>
        <w:jc w:val="center"/>
        <w:rPr>
          <w:rFonts w:cs="Tahoma"/>
          <w:b/>
          <w:bCs/>
          <w:color w:val="000000"/>
          <w:spacing w:val="2"/>
        </w:rPr>
      </w:pPr>
      <w:r>
        <w:rPr>
          <w:rFonts w:cs="Tahoma"/>
          <w:b/>
          <w:bCs/>
          <w:color w:val="000000"/>
          <w:spacing w:val="2"/>
        </w:rPr>
        <w:t>Муниципальной программы</w:t>
      </w:r>
    </w:p>
    <w:p>
      <w:pPr>
        <w:pStyle w:val="Normal"/>
        <w:shd w:val="clear" w:color="auto" w:fill="FFFFFF"/>
        <w:jc w:val="center"/>
        <w:rPr>
          <w:rFonts w:cs="Tahoma"/>
          <w:b/>
          <w:bCs/>
          <w:color w:val="000000"/>
          <w:spacing w:val="2"/>
        </w:rPr>
      </w:pPr>
      <w:r>
        <w:rPr>
          <w:rFonts w:cs="Tahoma"/>
          <w:b/>
          <w:bCs/>
          <w:color w:val="000000"/>
          <w:spacing w:val="2"/>
        </w:rPr>
        <w:t xml:space="preserve">«Социальная поддержка граждан в Вилючинском городском округе» </w:t>
      </w:r>
    </w:p>
    <w:tbl>
      <w:tblPr>
        <w:tblW w:w="974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52"/>
        <w:gridCol w:w="6094"/>
      </w:tblGrid>
      <w:tr>
        <w:trPr/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color w:val="000000"/>
                <w:spacing w:val="-1"/>
              </w:rPr>
            </w:pPr>
            <w:r>
              <w:rPr>
                <w:rFonts w:cs="Tahoma"/>
                <w:color w:val="000000"/>
                <w:spacing w:val="-1"/>
              </w:rPr>
              <w:t>Наименование Программы</w:t>
            </w:r>
          </w:p>
          <w:p>
            <w:pPr>
              <w:pStyle w:val="Normal"/>
              <w:rPr>
                <w:rFonts w:cs="Tahoma"/>
              </w:rPr>
            </w:pPr>
            <w:r>
              <w:rPr>
                <w:rFonts w:cs="Tahoma"/>
              </w:rPr>
            </w:r>
          </w:p>
          <w:p>
            <w:pPr>
              <w:pStyle w:val="Normal"/>
              <w:rPr>
                <w:rFonts w:cs="Tahoma"/>
              </w:rPr>
            </w:pPr>
            <w:r>
              <w:rPr>
                <w:rFonts w:cs="Tahoma"/>
              </w:rPr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jc w:val="both"/>
              <w:rPr/>
            </w:pPr>
            <w:r>
              <w:rPr/>
              <w:t>Муниципальная программа «Социальная поддержка граждан в Вилючинском городском округе» (далее - Программа):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317" w:leader="none"/>
              </w:tabs>
              <w:ind w:hanging="0" w:left="34"/>
              <w:jc w:val="both"/>
              <w:rPr>
                <w:color w:val="000000"/>
              </w:rPr>
            </w:pPr>
            <w:r>
              <w:rPr>
                <w:color w:val="000000"/>
              </w:rPr>
              <w:t>Подпрограмма 1 «Обеспечение мер социальной поддержки отдельных категорий граждан»;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317" w:leader="none"/>
              </w:tabs>
              <w:ind w:firstLine="1" w:left="34"/>
              <w:jc w:val="both"/>
              <w:rPr/>
            </w:pPr>
            <w:r>
              <w:rPr/>
              <w:t>Подпрограмма 2 «Повышение эффективности муниципальной поддержки социально ориентированных некоммерческих организаций»;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317" w:leader="none"/>
              </w:tabs>
              <w:ind w:firstLine="1" w:left="34"/>
              <w:jc w:val="both"/>
              <w:rPr/>
            </w:pPr>
            <w:r>
              <w:rPr/>
              <w:t>Подпрограмма 3 «Доступная среда в Вилючинском городском округе»;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hd w:val="clear" w:color="auto" w:fill="FFFFFF"/>
              <w:tabs>
                <w:tab w:val="clear" w:pos="708"/>
                <w:tab w:val="left" w:pos="34" w:leader="none"/>
                <w:tab w:val="left" w:pos="317" w:leader="none"/>
              </w:tabs>
              <w:ind w:firstLine="1" w:left="34"/>
              <w:jc w:val="both"/>
              <w:rPr/>
            </w:pPr>
            <w:r>
              <w:rPr/>
              <w:t>Подпрограмма 4 «Комплексная поддержка семей и детей, находящихся в трудной жизненной ситуации».</w:t>
            </w:r>
          </w:p>
        </w:tc>
      </w:tr>
      <w:tr>
        <w:trPr/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 xml:space="preserve">Основание для разработки 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>Программы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5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/>
            </w:pPr>
            <w:r>
              <w:rPr/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>
            <w:pPr>
              <w:pStyle w:val="ListParagraph"/>
              <w:numPr>
                <w:ilvl w:val="0"/>
                <w:numId w:val="5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/>
            </w:pPr>
            <w:hyperlink r:id="rId2">
              <w:r>
                <w:rPr>
                  <w:rStyle w:val="ListLabel1"/>
                </w:rPr>
                <w:t>Федеральный закон от 12.01.1996 № 7-ФЗ «О некоммерческих организациях</w:t>
              </w:r>
            </w:hyperlink>
            <w:r>
              <w:rPr/>
              <w:t>»;</w:t>
            </w:r>
          </w:p>
          <w:p>
            <w:pPr>
              <w:pStyle w:val="ListParagraph"/>
              <w:numPr>
                <w:ilvl w:val="0"/>
                <w:numId w:val="5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>
                <w:bCs/>
                <w:spacing w:val="-4"/>
              </w:rPr>
            </w:pPr>
            <w:r>
              <w:rPr/>
              <w:t>Закон РФ от 14.07.1992 № 3297-1 «О закрытом административно-территориальном образовании»;</w:t>
            </w:r>
          </w:p>
          <w:p>
            <w:pPr>
              <w:pStyle w:val="ListParagraph"/>
              <w:numPr>
                <w:ilvl w:val="0"/>
                <w:numId w:val="5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/>
            </w:pPr>
            <w:r>
              <w:rPr>
                <w:bCs/>
                <w:spacing w:val="-4"/>
              </w:rPr>
              <w:t>Постановление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программ»;</w:t>
            </w:r>
          </w:p>
          <w:p>
            <w:pPr>
              <w:pStyle w:val="ListParagraph"/>
              <w:numPr>
                <w:ilvl w:val="0"/>
                <w:numId w:val="5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/>
            </w:pPr>
            <w:r>
              <w:rPr/>
              <w:t xml:space="preserve">Решение Думы </w:t>
            </w:r>
            <w:r>
              <w:rPr>
                <w:bCs/>
                <w:spacing w:val="-4"/>
              </w:rPr>
              <w:t>Вилючинского городского округа от 24.01.2012 № 122/19-5 «О рассмотрении протеста прокурора ЗАТО г. Вилючинска Камчатского края от 29.12.2011 № 3/3764-2011 на решение Думы Вилючинского городского округа от 13.10.2011 № 91/15-5 «Об утверждении программы «О мерах социальной поддержки населения Вилючинского городского округа на 2012 год и на плановый период 2013 и 2014 годов».</w:t>
            </w:r>
          </w:p>
        </w:tc>
      </w:tr>
      <w:tr>
        <w:trPr/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/>
            </w:pPr>
            <w:r>
              <w:rPr/>
              <w:t xml:space="preserve">Муниципальный </w:t>
            </w:r>
          </w:p>
          <w:p>
            <w:pPr>
              <w:pStyle w:val="Normal"/>
              <w:rPr/>
            </w:pPr>
            <w:r>
              <w:rPr/>
              <w:t xml:space="preserve">заказчик-координатор </w:t>
            </w:r>
          </w:p>
          <w:p>
            <w:pPr>
              <w:pStyle w:val="Normal"/>
              <w:rPr/>
            </w:pPr>
            <w:r>
              <w:rPr/>
              <w:t>Программы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jc w:val="both"/>
              <w:rPr>
                <w:rFonts w:cs="Tahoma"/>
                <w:spacing w:val="1"/>
              </w:rPr>
            </w:pPr>
            <w:r>
              <w:rPr>
                <w:rFonts w:cs="Tahoma"/>
                <w:spacing w:val="3"/>
              </w:rPr>
              <w:t xml:space="preserve">Администрация Вилючинского городского округа в лице </w:t>
            </w:r>
            <w:r>
              <w:rPr/>
              <w:t>отдела по работе с отдельными категориями граждан администрации Вилючинского городского округа</w:t>
            </w:r>
            <w:r>
              <w:rPr>
                <w:rFonts w:cs="Tahoma"/>
                <w:spacing w:val="3"/>
              </w:rPr>
              <w:t>.</w:t>
            </w:r>
          </w:p>
        </w:tc>
      </w:tr>
      <w:tr>
        <w:trPr/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2"/>
              </w:rPr>
              <w:t xml:space="preserve">Разработчик </w:t>
            </w:r>
            <w:r>
              <w:rPr>
                <w:rFonts w:cs="Tahoma"/>
                <w:spacing w:val="-1"/>
              </w:rPr>
              <w:t>Программы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jc w:val="both"/>
              <w:rPr>
                <w:rFonts w:cs="Tahoma"/>
                <w:spacing w:val="2"/>
              </w:rPr>
            </w:pPr>
            <w:r>
              <w:rPr/>
              <w:t>Отдел по работе с отдельными категориями граждан администрации Вилючинского городского округа</w:t>
            </w:r>
            <w:r>
              <w:rPr>
                <w:rFonts w:cs="Tahoma"/>
                <w:spacing w:val="3"/>
              </w:rPr>
              <w:t>.</w:t>
            </w:r>
            <w:r>
              <w:rPr>
                <w:rFonts w:cs="Tahoma"/>
                <w:spacing w:val="2"/>
              </w:rPr>
              <w:t xml:space="preserve"> </w:t>
            </w:r>
          </w:p>
        </w:tc>
      </w:tr>
      <w:tr>
        <w:trPr/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/>
              <w:t xml:space="preserve">Исполнители </w:t>
            </w:r>
            <w:r>
              <w:rPr>
                <w:rFonts w:cs="Tahoma"/>
                <w:spacing w:val="-1"/>
              </w:rPr>
              <w:t xml:space="preserve">Программы 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>
                <w:rFonts w:cs="Tahoma"/>
                <w:spacing w:val="3"/>
              </w:rPr>
            </w:pPr>
            <w:r>
              <w:rPr/>
              <w:t>Отдел по работе с отдельными категориями граждан администрации Вилючинского городского округа</w:t>
            </w:r>
            <w:r>
              <w:rPr>
                <w:rFonts w:cs="Tahoma"/>
                <w:spacing w:val="3"/>
              </w:rPr>
              <w:t>;</w:t>
            </w:r>
          </w:p>
          <w:p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>
                <w:rFonts w:cs="Tahoma"/>
                <w:spacing w:val="3"/>
              </w:rPr>
            </w:pPr>
            <w:r>
              <w:rPr>
                <w:rFonts w:cs="Tahoma"/>
                <w:spacing w:val="3"/>
              </w:rPr>
              <w:t>Управление социальной политики администрации Вилючинского городского округа;</w:t>
            </w:r>
          </w:p>
          <w:p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>
                <w:rFonts w:cs="Tahoma"/>
                <w:spacing w:val="3"/>
              </w:rPr>
            </w:pPr>
            <w:r>
              <w:rPr>
                <w:rFonts w:cs="Tahoma"/>
                <w:spacing w:val="3"/>
              </w:rPr>
              <w:t>Управление архитектуры и городского хозяйства администрации Вилючинского городского округа;</w:t>
            </w:r>
          </w:p>
          <w:p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>
                <w:rFonts w:cs="Tahoma"/>
                <w:spacing w:val="2"/>
              </w:rPr>
            </w:pPr>
            <w:r>
              <w:rPr>
                <w:rFonts w:cs="Tahoma"/>
                <w:spacing w:val="3"/>
              </w:rPr>
              <w:t>Отдел по управлению муниципальным имуществом администрации Вилючинского городского округа</w:t>
            </w:r>
            <w:r>
              <w:rPr>
                <w:bCs/>
              </w:rPr>
              <w:t>;</w:t>
            </w:r>
          </w:p>
          <w:p>
            <w:pPr>
              <w:pStyle w:val="ListParagraph"/>
              <w:numPr>
                <w:ilvl w:val="0"/>
                <w:numId w:val="4"/>
              </w:numPr>
              <w:shd w:val="clear" w:color="auto" w:fill="FFFFFF"/>
              <w:tabs>
                <w:tab w:val="clear" w:pos="708"/>
                <w:tab w:val="left" w:pos="317" w:leader="none"/>
              </w:tabs>
              <w:snapToGrid w:val="false"/>
              <w:ind w:hanging="0" w:left="34"/>
              <w:jc w:val="both"/>
              <w:rPr>
                <w:rFonts w:cs="Tahoma"/>
                <w:spacing w:val="2"/>
              </w:rPr>
            </w:pPr>
            <w:r>
              <w:rPr>
                <w:bCs/>
              </w:rPr>
              <w:t>Администрация</w:t>
            </w:r>
            <w:r>
              <w:rPr>
                <w:rFonts w:cs="Tahoma"/>
                <w:spacing w:val="3"/>
              </w:rPr>
              <w:t xml:space="preserve"> Вилючинского городского округа.</w:t>
            </w:r>
          </w:p>
        </w:tc>
      </w:tr>
      <w:tr>
        <w:trPr/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2"/>
              </w:rPr>
            </w:pPr>
            <w:r>
              <w:rPr>
                <w:rFonts w:cs="Tahoma"/>
                <w:spacing w:val="-1"/>
              </w:rPr>
              <w:t>Цели Программы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ind w:right="-108"/>
              <w:jc w:val="both"/>
              <w:rPr>
                <w:spacing w:val="3"/>
              </w:rPr>
            </w:pPr>
            <w:r>
              <w:rPr/>
              <w:t xml:space="preserve">1. Повышение уровня и качества жизни пожилых граждан, инвалидов, семей с детьми и других социально незащищенных категорий граждан, проживающих на территории </w:t>
            </w:r>
            <w:r>
              <w:rPr>
                <w:spacing w:val="3"/>
              </w:rPr>
              <w:t>Вилючинского городского округа.</w:t>
            </w:r>
          </w:p>
          <w:p>
            <w:pPr>
              <w:pStyle w:val="Normal"/>
              <w:ind w:right="-108"/>
              <w:jc w:val="both"/>
              <w:rPr/>
            </w:pPr>
            <w:r>
              <w:rPr/>
              <w:t>2. Обеспечение условий для эффективности деятельности и развития социально ориентированных некоммерческих организаций в Вилючинском городском округе.</w:t>
            </w:r>
          </w:p>
          <w:p>
            <w:pPr>
              <w:pStyle w:val="Normal"/>
              <w:ind w:right="-108"/>
              <w:jc w:val="both"/>
              <w:rPr/>
            </w:pPr>
            <w:r>
              <w:rPr/>
              <w:t>3. Обеспечение беспрепятственного доступа к приоритетным объектам и услугам в основных сферах жизнедеятельности инвалидов и других маломобильных групп населения в Вилючинском городском округе.</w:t>
            </w:r>
          </w:p>
          <w:p>
            <w:pPr>
              <w:pStyle w:val="Normal"/>
              <w:ind w:right="-108"/>
              <w:jc w:val="both"/>
              <w:rPr/>
            </w:pPr>
            <w:r>
              <w:rPr/>
              <w:t>4. Создание модели комплексной поддержки семей и детей, находящихся в трудной жизненной ситуации, формирования благоприятной для воспитания ребенка семейной среды.</w:t>
            </w:r>
          </w:p>
        </w:tc>
      </w:tr>
      <w:tr>
        <w:trPr>
          <w:trHeight w:val="274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2"/>
              </w:rPr>
            </w:pPr>
            <w:r>
              <w:rPr>
                <w:rFonts w:cs="Tahoma"/>
                <w:spacing w:val="-2"/>
              </w:rPr>
              <w:t xml:space="preserve">Задачи </w:t>
            </w:r>
            <w:r>
              <w:rPr>
                <w:rFonts w:cs="Tahoma"/>
                <w:spacing w:val="-1"/>
              </w:rPr>
              <w:t>Программы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2"/>
              </w:rPr>
            </w:pPr>
            <w:r>
              <w:rPr>
                <w:rFonts w:cs="Tahoma"/>
                <w:spacing w:val="-2"/>
              </w:rPr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2"/>
              </w:rPr>
            </w:pPr>
            <w:r>
              <w:rPr>
                <w:rFonts w:cs="Tahoma"/>
                <w:spacing w:val="-2"/>
              </w:rPr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2"/>
              <w:tabs>
                <w:tab w:val="clear" w:pos="708"/>
                <w:tab w:val="left" w:pos="176" w:leader="none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1. Обеспечение на муниципальном уровне системы социальной и экономической поддержки малообеспеченных, многодетных, неполных семей, лиц с ограниченными  возможностями здоровья, пожилых людей, детей-сирот, детей-инвалидов.</w:t>
            </w:r>
          </w:p>
          <w:p>
            <w:pPr>
              <w:pStyle w:val="Normal"/>
              <w:tabs>
                <w:tab w:val="clear" w:pos="708"/>
                <w:tab w:val="left" w:pos="317" w:leader="none"/>
                <w:tab w:val="left" w:pos="459" w:leader="none"/>
              </w:tabs>
              <w:jc w:val="both"/>
              <w:rPr/>
            </w:pPr>
            <w:r>
              <w:rPr/>
              <w:t>2. Развитие инфраструктуры поддержки социально ориентированных некоммерческих организаций, в том числе содействие привлечению социально ориентированными некоммерческими организациями труда добровольцев.</w:t>
            </w:r>
          </w:p>
          <w:p>
            <w:pPr>
              <w:pStyle w:val="Normal"/>
              <w:tabs>
                <w:tab w:val="clear" w:pos="708"/>
                <w:tab w:val="left" w:pos="317" w:leader="none"/>
                <w:tab w:val="left" w:pos="459" w:leader="none"/>
              </w:tabs>
              <w:jc w:val="both"/>
              <w:rPr/>
            </w:pPr>
            <w:r>
              <w:rPr/>
              <w:t>3. Повышение уровня доступности приоритетных объектов и доступности и качества услуг в основных сферах жизнедеятельности инвалидов и других маломобильных групп населения.</w:t>
            </w:r>
          </w:p>
          <w:p>
            <w:pPr>
              <w:pStyle w:val="Iauiue"/>
              <w:tabs>
                <w:tab w:val="clear" w:pos="708"/>
                <w:tab w:val="left" w:pos="317" w:leader="none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Создание условий для мобилизации внутренних ресурсов семей, в том числе находящихся в трудной жизненной ситуации, формирования активной жизненной позиции детей и родителей, направленной на укрепление института семьи, развитие навыков здорового образа жизни; повышение педагогической и правовой компетентности родителей.</w:t>
            </w:r>
          </w:p>
        </w:tc>
      </w:tr>
      <w:tr>
        <w:trPr>
          <w:trHeight w:val="1428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 xml:space="preserve">Перечень основных 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>мероприятий Программы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ind w:hanging="0" w:left="34" w:right="33"/>
              <w:jc w:val="both"/>
              <w:rPr/>
            </w:pPr>
            <w:r>
              <w:rPr/>
              <w:t>Реализация мер социальной поддержки отдельных категорий граждан.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ind w:hanging="0" w:left="34" w:right="33"/>
              <w:jc w:val="both"/>
              <w:rPr/>
            </w:pPr>
            <w:r>
              <w:rPr/>
              <w:t>Оказание мер социальной поддержки ветеранам Великой Отечественной войны, боевых действий и инвалидам.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ind w:hanging="0" w:left="34" w:right="33"/>
              <w:jc w:val="both"/>
              <w:rPr/>
            </w:pPr>
            <w:r>
              <w:rPr/>
              <w:t>Дополнительное ежемесячное обеспечение лиц, замещающих муниципальные должности и муниципальных служащих.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ind w:hanging="0" w:left="34" w:right="33"/>
              <w:jc w:val="both"/>
              <w:rPr/>
            </w:pPr>
            <w:r>
              <w:rPr/>
              <w:t>Оказание мер социальной поддержки гражданам, удостоенным звания «Почетный гражданин города Вилючинска».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ind w:hanging="0" w:left="34" w:right="33"/>
              <w:jc w:val="both"/>
              <w:rPr/>
            </w:pPr>
            <w:r>
              <w:rPr/>
              <w:t>Оказание поддержки в связи с погребением умерших.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ind w:hanging="0" w:left="34" w:right="33"/>
              <w:jc w:val="both"/>
              <w:rPr/>
            </w:pPr>
            <w:r>
              <w:rPr/>
              <w:t>Оказание мер социальной поддержки семьям, имеющим детей.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ind w:hanging="0" w:left="34" w:right="33"/>
              <w:jc w:val="both"/>
              <w:rPr/>
            </w:pPr>
            <w:r>
              <w:rPr/>
              <w:t>Содержание совершеннолетних недееспособных граждан.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/>
            </w:pPr>
            <w:r>
              <w:rPr/>
              <w:t>Расходы по предоставлению мер социальной поддержки отдельным категориям граждан по проезду на автомобильном транспорте общего пользования городского сообщения.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/>
            </w:pPr>
            <w:r>
              <w:rPr/>
              <w:t>Оказание социальной поддержки отдельным категориям граждан при оплате за жилое помещение и коммунальные услуги.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>
                <w:color w:val="FF0000"/>
              </w:rPr>
            </w:pPr>
            <w:r>
              <w:rPr/>
              <w:t>Оплата стоимости проезда с учетом переселяющихся членов семьи от прежнего места жительства до нового места жительства и провоза багажа весом до 5 тонн на семью, утративших служебную связь с организацией (объектом), расположенной в закрытом административно - территориальном образовании, проживание, на территории которого ограничивается условиями особого режима безопасного функционирования.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/>
            </w:pPr>
            <w:r>
              <w:rPr/>
              <w:t>Оказание государственной социальной помощи на основании социального контракта отдельным категориям граждан.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/>
            </w:pPr>
            <w:r>
              <w:rPr/>
              <w:t>Предоставление гражданам, находящимся в трудной жизненной ситуации, проживающим в Камчатском крае, социальной поддержки в форме материальной помощи.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>
                <w:color w:val="FF0000"/>
              </w:rPr>
            </w:pPr>
            <w:r>
              <w:rPr/>
              <w:t>Оказание государственной поддержки общественным и иным некоммерческим организациям.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/>
            </w:pPr>
            <w:r>
              <w:rPr/>
              <w:t>Приобретение средств транспорта общего пользования, приспособленных для перевозки инвалидов.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/>
            </w:pPr>
            <w:r>
              <w:rPr/>
              <w:t>Повышение уровня доступности объектов сферы образования и создание условий для получения детьми-инвалидами и (или) детьми с ОВЗ качественного образования.</w:t>
            </w:r>
          </w:p>
          <w:p>
            <w:pPr>
              <w:pStyle w:val="Normal"/>
              <w:numPr>
                <w:ilvl w:val="0"/>
                <w:numId w:val="2"/>
              </w:numPr>
              <w:tabs>
                <w:tab w:val="clear" w:pos="708"/>
                <w:tab w:val="left" w:pos="317" w:leader="none"/>
              </w:tabs>
              <w:spacing w:lineRule="auto" w:line="256"/>
              <w:ind w:hanging="0" w:left="34" w:right="33"/>
              <w:jc w:val="both"/>
              <w:rPr/>
            </w:pPr>
            <w:r>
              <w:rPr/>
              <w:t>Реализация инновационных технологий работы с семьями и детьми, попавшими в трудную жизненную ситуацию в Вилючинском городском округе.</w:t>
            </w:r>
          </w:p>
          <w:p>
            <w:pPr>
              <w:pStyle w:val="Normal"/>
              <w:tabs>
                <w:tab w:val="clear" w:pos="708"/>
                <w:tab w:val="left" w:pos="317" w:leader="none"/>
              </w:tabs>
              <w:spacing w:lineRule="auto" w:line="256"/>
              <w:ind w:left="34" w:right="33"/>
              <w:jc w:val="both"/>
              <w:rPr>
                <w:color w:val="FF0000"/>
              </w:rPr>
            </w:pPr>
            <w:r>
              <w:rPr>
                <w:color w:val="FF0000"/>
              </w:rPr>
            </w:r>
          </w:p>
        </w:tc>
      </w:tr>
      <w:tr>
        <w:trPr>
          <w:trHeight w:val="637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 xml:space="preserve">Сроки и этапы реализации 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>Программы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11"/>
              </w:rPr>
            </w:pPr>
            <w:r>
              <w:rPr/>
              <w:t>2018 – 2029 годы</w:t>
            </w:r>
          </w:p>
        </w:tc>
      </w:tr>
      <w:tr>
        <w:trPr/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1"/>
              </w:rPr>
              <w:t>О</w:t>
            </w:r>
            <w:r>
              <w:rPr>
                <w:rFonts w:cs="Tahoma"/>
                <w:spacing w:val="-1"/>
              </w:rPr>
              <w:t xml:space="preserve">бъёмы и источники 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1"/>
              </w:rPr>
            </w:pPr>
            <w:r>
              <w:rPr>
                <w:rFonts w:cs="Tahoma"/>
                <w:spacing w:val="1"/>
              </w:rPr>
              <w:t xml:space="preserve">финансирования 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1"/>
              </w:rPr>
            </w:pPr>
            <w:r>
              <w:rPr>
                <w:rFonts w:cs="Tahoma"/>
                <w:spacing w:val="-1"/>
              </w:rPr>
              <w:t>Программы</w:t>
            </w:r>
            <w:r>
              <w:rPr>
                <w:rFonts w:cs="Tahoma"/>
                <w:spacing w:val="1"/>
              </w:rPr>
              <w:t xml:space="preserve"> в разрезе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 xml:space="preserve">источников 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1"/>
              </w:rPr>
            </w:pPr>
            <w:r>
              <w:rPr>
                <w:rFonts w:cs="Tahoma"/>
                <w:spacing w:val="1"/>
              </w:rPr>
              <w:t>финансирования</w:t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  <w:p>
            <w:pPr>
              <w:pStyle w:val="Normal"/>
              <w:rPr/>
            </w:pPr>
            <w:r>
              <w:rPr/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56"/>
              <w:jc w:val="both"/>
              <w:rPr/>
            </w:pPr>
            <w:r>
              <w:rPr/>
              <w:t>Источником финансирования Программы являются средства местного, краевого, федерального бюджетов и привлеченные средства.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 xml:space="preserve">Общий объём финансирования Программы составляет – </w:t>
            </w:r>
            <w:r>
              <w:rPr/>
              <w:t>1 692 173,42358</w:t>
            </w:r>
            <w:r>
              <w:rPr>
                <w:color w:val="EE0000"/>
              </w:rPr>
              <w:t xml:space="preserve"> </w:t>
            </w:r>
            <w:r>
              <w:rPr/>
              <w:t>тыс. рублей, из них по годам: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2018 год – 117 481,39381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2019 год – 113 555,97248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 xml:space="preserve">2020 год – 106 011,30593 тыс. рублей; 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2021 год – 116 547,94527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2022</w:t>
            </w:r>
            <w:r>
              <w:rPr>
                <w:color w:val="auto"/>
              </w:rPr>
              <w:t xml:space="preserve"> год – 129 507,32238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2023 год – 143 038,01045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2024 год – 155 221,29657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2025 год – 183 091,00851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215 088,00518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2027 год – 205 141,43150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2028 год – 207 489,73150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2029 год – 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 xml:space="preserve">федеральный бюджет – </w:t>
            </w:r>
            <w:r>
              <w:rPr/>
              <w:t>336 602,61489</w:t>
            </w:r>
            <w:r>
              <w:rPr>
                <w:color w:val="EE0000"/>
              </w:rPr>
              <w:t xml:space="preserve"> </w:t>
            </w:r>
            <w:r>
              <w:rPr/>
              <w:t>тыс. рублей, из них по годам: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2018 год – 453,23114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2019 год – 5</w:t>
            </w:r>
            <w:r>
              <w:rPr>
                <w:color w:val="auto"/>
              </w:rPr>
              <w:t>45,84673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2020 год – 9 892,00576 тыс. рублей; 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2021 год – 23 613,56921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2022 год – 32 020,84910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2023 год – 36 013,50938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2024 год – 32 405,97157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2025 год – 42 642,06200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>
                <w:color w:val="auto"/>
              </w:rPr>
              <w:t>2026 год – 51 671,17000 ты</w:t>
            </w:r>
            <w:r>
              <w:rPr/>
              <w:t>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2027 год – 53 035,30000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2028 год – 54 309,10000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2029 год – 0,00000 тыс. рублей;</w:t>
            </w:r>
          </w:p>
          <w:p>
            <w:pPr>
              <w:pStyle w:val="Normal"/>
              <w:jc w:val="both"/>
              <w:rPr/>
            </w:pPr>
            <w:r>
              <w:rPr/>
              <w:t>краевой бюджет –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1 </w:t>
            </w:r>
            <w:r>
              <w:rPr>
                <w:color w:val="auto"/>
              </w:rPr>
              <w:t>276 078,83967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t>тыс. рублей, в том числе по годам: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2018 год – 98 025,86172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2019 год – 107 190,38000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2020 год – 91 319,50236 тыс. рублей; 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2021 год – 86 502,93209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2022 год – 91 168,38045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2023 год – 100 290,40286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2024 год – 114 093,58736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2025 год – 130 612,57058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151 588,45925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2027 год – 152 106,13150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2028 год – 153 180,63150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2029 год – 0,00000 тыс. рублей;</w:t>
            </w:r>
          </w:p>
          <w:p>
            <w:pPr>
              <w:pStyle w:val="Normal"/>
              <w:jc w:val="both"/>
              <w:rPr/>
            </w:pPr>
            <w:r>
              <w:rPr/>
              <w:t xml:space="preserve">местный бюджет – </w:t>
            </w:r>
            <w:r>
              <w:rPr/>
              <w:t>79 451,96902</w:t>
            </w:r>
            <w:r>
              <w:rPr>
                <w:color w:val="EE0000"/>
              </w:rPr>
              <w:t xml:space="preserve"> </w:t>
            </w:r>
            <w:r>
              <w:rPr/>
              <w:t>тыс. рублей, из них по годам: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2018 год – 18 982,30095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2019 год – 5 799,74575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 xml:space="preserve">2020 год – 4 799,79781 тыс. рублей; 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2021 го</w:t>
            </w:r>
            <w:r>
              <w:rPr>
                <w:color w:val="auto"/>
              </w:rPr>
              <w:t>д – 6 431,44397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2022 год – 6 318,09283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2023 год – 6 734,09821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2024 год – 8 721,73764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2025 год – 9 836,37593 тыс. рублей;</w:t>
            </w:r>
          </w:p>
          <w:p>
            <w:pPr>
              <w:pStyle w:val="Normal"/>
              <w:spacing w:lineRule="auto" w:line="256"/>
              <w:jc w:val="both"/>
              <w:rPr>
                <w:color w:val="auto"/>
              </w:rPr>
            </w:pPr>
            <w:r>
              <w:rPr>
                <w:color w:val="auto"/>
              </w:rPr>
              <w:t>2026 год – 11 828,37593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2027 год – 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2028 год – 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2029 год – 0,00000 тыс. рублей;</w:t>
            </w:r>
          </w:p>
          <w:p>
            <w:pPr>
              <w:pStyle w:val="Normal"/>
              <w:jc w:val="both"/>
              <w:rPr/>
            </w:pPr>
            <w:r>
              <w:rPr/>
              <w:t>привлеченные средства – 40,00000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2018 год – 20,00000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2019 год – 20,00000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 xml:space="preserve">2020 год – 0,00000 тыс. рублей; 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2021 год – 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2022 год – 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 xml:space="preserve">2023 год – 0,00000 тыс. рублей; </w:t>
            </w:r>
          </w:p>
          <w:p>
            <w:pPr>
              <w:pStyle w:val="Normal"/>
              <w:spacing w:lineRule="auto" w:line="256"/>
              <w:rPr/>
            </w:pPr>
            <w:r>
              <w:rPr/>
              <w:t>2024 год – 0,00000 тыс. рублей;</w:t>
            </w:r>
          </w:p>
          <w:p>
            <w:pPr>
              <w:pStyle w:val="Normal"/>
              <w:spacing w:lineRule="auto" w:line="256"/>
              <w:rPr/>
            </w:pPr>
            <w:r>
              <w:rPr/>
              <w:t>2025 год – 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2026 год – 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2027 год – 0,00000 тыс. рублей;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/>
              <w:t>2028 год – 0,00000 тыс. рублей.;</w:t>
            </w:r>
          </w:p>
          <w:p>
            <w:pPr>
              <w:pStyle w:val="Normal"/>
              <w:spacing w:lineRule="auto" w:line="256"/>
              <w:jc w:val="both"/>
              <w:rPr/>
            </w:pPr>
            <w:r>
              <w:rPr>
                <w:color w:themeColor="text1" w:val="000000"/>
              </w:rPr>
              <w:t>2029 год – 0,00000 тыс. рублей.</w:t>
            </w:r>
          </w:p>
        </w:tc>
      </w:tr>
      <w:tr>
        <w:trPr>
          <w:trHeight w:val="416" w:hRule="atLeast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jc w:val="both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 xml:space="preserve">Прогноз ожидаемых </w:t>
            </w:r>
          </w:p>
          <w:p>
            <w:pPr>
              <w:pStyle w:val="Normal"/>
              <w:shd w:val="clear" w:color="auto" w:fill="FFFFFF"/>
              <w:snapToGrid w:val="false"/>
              <w:jc w:val="both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 xml:space="preserve">результатов реализации </w:t>
            </w:r>
          </w:p>
          <w:p>
            <w:pPr>
              <w:pStyle w:val="Normal"/>
              <w:shd w:val="clear" w:color="auto" w:fill="FFFFFF"/>
              <w:snapToGrid w:val="false"/>
              <w:jc w:val="both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>Программы</w:t>
            </w:r>
          </w:p>
          <w:p>
            <w:pPr>
              <w:pStyle w:val="Normal"/>
              <w:shd w:val="clear" w:color="auto" w:fill="FFFFFF"/>
              <w:snapToGrid w:val="false"/>
              <w:jc w:val="both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</w:r>
          </w:p>
          <w:p>
            <w:pPr>
              <w:pStyle w:val="Normal"/>
              <w:jc w:val="both"/>
              <w:rPr>
                <w:lang w:eastAsia="en-GB"/>
              </w:rPr>
            </w:pPr>
            <w:r>
              <w:rPr>
                <w:lang w:eastAsia="en-GB"/>
              </w:rPr>
            </w:r>
          </w:p>
          <w:p>
            <w:pPr>
              <w:pStyle w:val="Normal"/>
              <w:jc w:val="both"/>
              <w:rPr>
                <w:lang w:eastAsia="en-GB"/>
              </w:rPr>
            </w:pPr>
            <w:r>
              <w:rPr>
                <w:lang w:eastAsia="en-GB"/>
              </w:rPr>
            </w:r>
          </w:p>
          <w:p>
            <w:pPr>
              <w:pStyle w:val="Normal"/>
              <w:jc w:val="both"/>
              <w:rPr>
                <w:lang w:eastAsia="en-GB"/>
              </w:rPr>
            </w:pPr>
            <w:r>
              <w:rPr>
                <w:lang w:eastAsia="en-GB"/>
              </w:rPr>
            </w:r>
          </w:p>
          <w:p>
            <w:pPr>
              <w:pStyle w:val="Normal"/>
              <w:jc w:val="both"/>
              <w:rPr>
                <w:lang w:eastAsia="en-GB"/>
              </w:rPr>
            </w:pPr>
            <w:r>
              <w:rPr>
                <w:lang w:eastAsia="en-GB"/>
              </w:rPr>
            </w:r>
          </w:p>
          <w:p>
            <w:pPr>
              <w:pStyle w:val="Normal"/>
              <w:jc w:val="both"/>
              <w:rPr>
                <w:lang w:eastAsia="en-GB"/>
              </w:rPr>
            </w:pPr>
            <w:r>
              <w:rPr>
                <w:lang w:eastAsia="en-GB"/>
              </w:rPr>
            </w:r>
          </w:p>
          <w:p>
            <w:pPr>
              <w:pStyle w:val="Normal"/>
              <w:shd w:val="clear" w:color="auto" w:fill="FFFFFF"/>
              <w:snapToGrid w:val="false"/>
              <w:jc w:val="both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6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Увеличение количества граждан, получающих муниципальные меры социальной поддержки;</w:t>
            </w:r>
          </w:p>
          <w:p>
            <w:pPr>
              <w:pStyle w:val="Style26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 xml:space="preserve">2. Повышение качества жизни отдельных категорий граждан - получателей мер социальной поддержки; </w:t>
            </w:r>
          </w:p>
          <w:p>
            <w:pPr>
              <w:pStyle w:val="Style26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Создание прозрачной и конкурентной системы муниципальной поддержки социально ориентированных некоммерческих организаций;</w:t>
            </w:r>
          </w:p>
          <w:p>
            <w:pPr>
              <w:pStyle w:val="Style26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4. Повышение эффективности и финансовой устойчивости социально ориентированных некоммерческих организаций;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18" w:leader="none"/>
              </w:tabs>
              <w:snapToGrid w:val="false"/>
              <w:jc w:val="both"/>
              <w:rPr/>
            </w:pPr>
            <w:r>
              <w:rPr/>
              <w:t>5. Увеличение объемов и повышение качества услуг, оказываемых социально ориентированными некоммерческими организациями в социальной сфере.</w:t>
            </w:r>
          </w:p>
          <w:p>
            <w:pPr>
              <w:pStyle w:val="Style26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6. Увеличение доли парка подвижного состава автомобильного и городского наземного транспорта общего пользования, оборудованного для перевозки маломобильных групп населения, в парке этого подвижного состава (автобусного).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18" w:leader="none"/>
              </w:tabs>
              <w:snapToGrid w:val="false"/>
              <w:jc w:val="both"/>
              <w:rPr/>
            </w:pPr>
            <w:r>
              <w:rPr/>
              <w:t>7. Увеличение доли приоритетных объектов транспортной инфраструктуры, доступных для инвалидов и других маломобильных групп населения, в общем количестве приоритетных объектов транспортной инфраструктуры.</w:t>
            </w:r>
          </w:p>
          <w:p>
            <w:pPr>
              <w:pStyle w:val="Iauiue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Уменьшение количества семей, находящихся в социально опасном положении.</w:t>
            </w:r>
          </w:p>
          <w:p>
            <w:pPr>
              <w:pStyle w:val="Iauiue"/>
              <w:spacing w:before="0" w:after="0"/>
              <w:ind w:firstLine="34" w:right="-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Уменьшение числа детей, состоящих на внутришкольном учете.</w:t>
            </w:r>
          </w:p>
          <w:p>
            <w:pPr>
              <w:pStyle w:val="Iauiue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Снижение числа возвратов детей из замещающих семей.</w:t>
            </w:r>
          </w:p>
          <w:p>
            <w:pPr>
              <w:pStyle w:val="Iauiue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Увеличение числа родителей, восстановивших свой родительский статус.</w:t>
            </w:r>
          </w:p>
          <w:p>
            <w:pPr>
              <w:pStyle w:val="Iauiue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Увеличение охвата семей и детей, находящихся в социально опасном  мероприятиями социальной направленности.</w:t>
            </w:r>
          </w:p>
          <w:p>
            <w:pPr>
              <w:pStyle w:val="Iauiue"/>
              <w:ind w:firstLine="3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 Увеличение доли семей, отметивших улучшение детско-родительских отношений и отношений с окружением в результате реализации проекта.</w:t>
            </w:r>
          </w:p>
          <w:p>
            <w:pPr>
              <w:pStyle w:val="Iauiue"/>
              <w:spacing w:before="0" w:after="0"/>
              <w:ind w:firstLine="34" w:right="-1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14. Увеличение числа волонтерских объединений, добровольцев, принимающих участие в мероприятиях социальной направленности.</w:t>
            </w:r>
          </w:p>
          <w:p>
            <w:pPr>
              <w:pStyle w:val="Iauiue"/>
              <w:spacing w:before="0" w:after="0"/>
              <w:ind w:firstLine="34" w:right="-1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 Увеличение количества мероприятий по распространению инновационных технологий и методик работы.</w:t>
            </w:r>
          </w:p>
          <w:p>
            <w:pPr>
              <w:pStyle w:val="Normal"/>
              <w:widowControl w:val="false"/>
              <w:shd w:val="clear" w:color="auto" w:fill="FFFFFF"/>
              <w:tabs>
                <w:tab w:val="clear" w:pos="708"/>
                <w:tab w:val="left" w:pos="318" w:leader="none"/>
              </w:tabs>
              <w:snapToGrid w:val="false"/>
              <w:jc w:val="both"/>
              <w:rPr>
                <w:rFonts w:cs="Tahoma"/>
                <w:spacing w:val="3"/>
              </w:rPr>
            </w:pPr>
            <w:r>
              <w:rPr/>
              <w:t>16. Увеличение числа публикаций, теле-, радиоэфиров по профилактике социального сиротства, семейного неблагополучия.</w:t>
            </w:r>
          </w:p>
        </w:tc>
      </w:tr>
      <w:tr>
        <w:trPr/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-1"/>
              </w:rPr>
            </w:pPr>
            <w:r>
              <w:rPr>
                <w:rFonts w:cs="Tahoma"/>
                <w:spacing w:val="-1"/>
              </w:rPr>
              <w:t xml:space="preserve">Система организации 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1"/>
              </w:rPr>
            </w:pPr>
            <w:r>
              <w:rPr>
                <w:rFonts w:cs="Tahoma"/>
                <w:spacing w:val="-1"/>
              </w:rPr>
              <w:t xml:space="preserve">контроля </w:t>
            </w:r>
            <w:r>
              <w:rPr>
                <w:rFonts w:cs="Tahoma"/>
                <w:spacing w:val="1"/>
              </w:rPr>
              <w:t xml:space="preserve">исполнения </w:t>
            </w:r>
          </w:p>
          <w:p>
            <w:pPr>
              <w:pStyle w:val="Normal"/>
              <w:shd w:val="clear" w:color="auto" w:fill="FFFFFF"/>
              <w:snapToGrid w:val="false"/>
              <w:rPr>
                <w:rFonts w:cs="Tahoma"/>
                <w:spacing w:val="1"/>
              </w:rPr>
            </w:pPr>
            <w:r>
              <w:rPr>
                <w:rFonts w:cs="Tahoma"/>
                <w:spacing w:val="-1"/>
              </w:rPr>
              <w:t>Программы</w:t>
            </w:r>
          </w:p>
        </w:tc>
        <w:tc>
          <w:tcPr>
            <w:tcW w:w="6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snapToGrid w:val="false"/>
              <w:jc w:val="both"/>
              <w:rPr>
                <w:rFonts w:cs="Tahoma"/>
                <w:spacing w:val="1"/>
              </w:rPr>
            </w:pPr>
            <w:r>
              <w:rPr>
                <w:rFonts w:cs="Tahoma"/>
                <w:spacing w:val="2"/>
              </w:rPr>
              <w:t xml:space="preserve">Контроль за </w:t>
            </w:r>
            <w:r>
              <w:rPr/>
              <w:t>исполнением</w:t>
            </w:r>
            <w:r>
              <w:rPr>
                <w:rFonts w:cs="Tahoma"/>
                <w:spacing w:val="2"/>
              </w:rPr>
              <w:t xml:space="preserve"> </w:t>
            </w:r>
            <w:r>
              <w:rPr>
                <w:rFonts w:cs="Tahoma"/>
                <w:spacing w:val="-1"/>
              </w:rPr>
              <w:t>Программы</w:t>
            </w:r>
            <w:r>
              <w:rPr>
                <w:rFonts w:cs="Tahoma"/>
                <w:spacing w:val="2"/>
              </w:rPr>
              <w:t xml:space="preserve"> </w:t>
            </w:r>
            <w:r>
              <w:rPr>
                <w:rFonts w:cs="Tahoma"/>
                <w:spacing w:val="1"/>
              </w:rPr>
              <w:t xml:space="preserve">осуществляет администрация Вилючинского городского округа в лице </w:t>
            </w:r>
            <w:r>
              <w:rPr/>
              <w:t>отдела по работе с отдельными категориями граждан администрации Вилючинского городского округа</w:t>
            </w:r>
            <w:r>
              <w:rPr>
                <w:rFonts w:cs="Tahoma"/>
                <w:spacing w:val="1"/>
              </w:rPr>
              <w:t>. Главные распорядители бюджетных средств несут ответственность за предоставление отчетности и своевременную подачу заявок на финансирование.</w:t>
            </w:r>
          </w:p>
        </w:tc>
      </w:tr>
    </w:tbl>
    <w:p>
      <w:pPr>
        <w:pStyle w:val="Normal"/>
        <w:widowControl w:val="false"/>
        <w:numPr>
          <w:ilvl w:val="0"/>
          <w:numId w:val="0"/>
        </w:numPr>
        <w:ind w:left="720"/>
        <w:outlineLvl w:val="2"/>
        <w:rPr/>
      </w:pPr>
      <w:r>
        <w:rPr/>
      </w:r>
    </w:p>
    <w:sectPr>
      <w:type w:val="nextPage"/>
      <w:pgSz w:w="11906" w:h="16838"/>
      <w:pgMar w:left="1701" w:right="567" w:gutter="0" w:header="0" w:top="993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swiss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  <w:font w:name="Calibri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ahoma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95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5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5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55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5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5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715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5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5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22646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f62a60"/>
    <w:pPr>
      <w:keepNext w:val="true"/>
      <w:widowControl w:val="false"/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4"/>
    <w:qFormat/>
    <w:rsid w:val="00cf528c"/>
    <w:pPr>
      <w:keepNext w:val="true"/>
      <w:jc w:val="both"/>
      <w:outlineLvl w:val="3"/>
    </w:pPr>
    <w:rPr>
      <w:sz w:val="28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 w:customStyle="1">
    <w:name w:val="Основной текст Знак"/>
    <w:qFormat/>
    <w:rsid w:val="007c6392"/>
    <w:rPr>
      <w:sz w:val="28"/>
    </w:rPr>
  </w:style>
  <w:style w:type="character" w:styleId="Hyperlink">
    <w:name w:val="Hyperlink"/>
    <w:uiPriority w:val="99"/>
    <w:unhideWhenUsed/>
    <w:rsid w:val="003030ab"/>
    <w:rPr>
      <w:color w:val="0000FF"/>
      <w:u w:val="single"/>
    </w:rPr>
  </w:style>
  <w:style w:type="character" w:styleId="2" w:customStyle="1">
    <w:name w:val="Основной текст с отступом 2 Знак"/>
    <w:link w:val="BodyTextIndent2"/>
    <w:qFormat/>
    <w:rsid w:val="00cf528c"/>
    <w:rPr>
      <w:sz w:val="24"/>
      <w:szCs w:val="24"/>
    </w:rPr>
  </w:style>
  <w:style w:type="character" w:styleId="21" w:customStyle="1">
    <w:name w:val="Основной текст 2 Знак"/>
    <w:link w:val="BodyText2"/>
    <w:qFormat/>
    <w:rsid w:val="00cf528c"/>
    <w:rPr>
      <w:sz w:val="24"/>
      <w:szCs w:val="24"/>
    </w:rPr>
  </w:style>
  <w:style w:type="character" w:styleId="4" w:customStyle="1">
    <w:name w:val="Заголовок 4 Знак"/>
    <w:qFormat/>
    <w:rsid w:val="00cf528c"/>
    <w:rPr>
      <w:sz w:val="28"/>
      <w:szCs w:val="24"/>
    </w:rPr>
  </w:style>
  <w:style w:type="character" w:styleId="1" w:customStyle="1">
    <w:name w:val="Заголовок 1 Знак"/>
    <w:qFormat/>
    <w:rsid w:val="00f62a60"/>
    <w:rPr>
      <w:rFonts w:ascii="Cambria" w:hAnsi="Cambria"/>
      <w:b/>
      <w:bCs/>
      <w:kern w:val="2"/>
      <w:sz w:val="32"/>
      <w:szCs w:val="32"/>
    </w:rPr>
  </w:style>
  <w:style w:type="character" w:styleId="Style13" w:customStyle="1">
    <w:name w:val="Заголовок Знак"/>
    <w:qFormat/>
    <w:rsid w:val="00f62a60"/>
    <w:rPr>
      <w:b/>
      <w:bCs/>
      <w:color w:val="000000"/>
      <w:sz w:val="36"/>
      <w:szCs w:val="32"/>
      <w:shd w:fill="FFFFFF" w:val="clear"/>
    </w:rPr>
  </w:style>
  <w:style w:type="character" w:styleId="Style14" w:customStyle="1">
    <w:name w:val="Гипертекстовая ссылка"/>
    <w:uiPriority w:val="99"/>
    <w:qFormat/>
    <w:rsid w:val="00f62a60"/>
    <w:rPr>
      <w:color w:val="106BBE"/>
    </w:rPr>
  </w:style>
  <w:style w:type="character" w:styleId="Style15" w:customStyle="1">
    <w:name w:val="Основной текст с отступом Знак"/>
    <w:qFormat/>
    <w:rsid w:val="000d201c"/>
    <w:rPr>
      <w:sz w:val="24"/>
      <w:szCs w:val="24"/>
    </w:rPr>
  </w:style>
  <w:style w:type="character" w:styleId="Style16" w:customStyle="1">
    <w:name w:val="Текст выноски Знак"/>
    <w:link w:val="BalloonText"/>
    <w:qFormat/>
    <w:rsid w:val="006e2592"/>
    <w:rPr>
      <w:rFonts w:ascii="Tahoma" w:hAnsi="Tahoma" w:cs="Tahoma"/>
      <w:sz w:val="16"/>
      <w:szCs w:val="16"/>
    </w:rPr>
  </w:style>
  <w:style w:type="character" w:styleId="Style17" w:customStyle="1">
    <w:name w:val="Верхний колонтитул Знак"/>
    <w:qFormat/>
    <w:rsid w:val="00790ff3"/>
    <w:rPr>
      <w:sz w:val="24"/>
      <w:szCs w:val="24"/>
    </w:rPr>
  </w:style>
  <w:style w:type="character" w:styleId="Style18" w:customStyle="1">
    <w:name w:val="Нижний колонтитул Знак"/>
    <w:uiPriority w:val="99"/>
    <w:qFormat/>
    <w:rsid w:val="00790ff3"/>
    <w:rPr>
      <w:sz w:val="24"/>
      <w:szCs w:val="24"/>
    </w:rPr>
  </w:style>
  <w:style w:type="paragraph" w:styleId="Style19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Droid Sans Fallback" w:cs="Lohit Devanagari"/>
      <w:sz w:val="28"/>
      <w:szCs w:val="28"/>
    </w:rPr>
  </w:style>
  <w:style w:type="paragraph" w:styleId="BodyText">
    <w:name w:val="Body Text"/>
    <w:basedOn w:val="Normal"/>
    <w:link w:val="Style12"/>
    <w:rsid w:val="007c6392"/>
    <w:pPr>
      <w:overflowPunct w:val="true"/>
      <w:jc w:val="both"/>
    </w:pPr>
    <w:rPr>
      <w:sz w:val="28"/>
      <w:szCs w:val="20"/>
      <w:lang w:val="x-none" w:eastAsia="x-none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rmal" w:customStyle="1">
    <w:name w:val="ConsPlusNormal"/>
    <w:qFormat/>
    <w:rsid w:val="00422646"/>
    <w:pPr>
      <w:widowControl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BodyTextIndent2">
    <w:name w:val="Body Text Indent 2"/>
    <w:basedOn w:val="Normal"/>
    <w:link w:val="2"/>
    <w:qFormat/>
    <w:rsid w:val="00cf528c"/>
    <w:pPr>
      <w:spacing w:lineRule="auto" w:line="480" w:before="0" w:after="120"/>
      <w:ind w:left="283"/>
    </w:pPr>
    <w:rPr>
      <w:lang w:val="x-none" w:eastAsia="x-none"/>
    </w:rPr>
  </w:style>
  <w:style w:type="paragraph" w:styleId="BodyText2">
    <w:name w:val="Body Text 2"/>
    <w:basedOn w:val="Normal"/>
    <w:link w:val="21"/>
    <w:qFormat/>
    <w:rsid w:val="00cf528c"/>
    <w:pPr>
      <w:spacing w:lineRule="auto" w:line="480" w:before="0" w:after="120"/>
    </w:pPr>
    <w:rPr>
      <w:lang w:val="x-none" w:eastAsia="x-none"/>
    </w:rPr>
  </w:style>
  <w:style w:type="paragraph" w:styleId="Title">
    <w:name w:val="Title"/>
    <w:basedOn w:val="Normal"/>
    <w:link w:val="Style13"/>
    <w:qFormat/>
    <w:rsid w:val="00f62a60"/>
    <w:pPr>
      <w:widowControl w:val="false"/>
      <w:shd w:val="clear" w:color="auto" w:fill="FFFFFF"/>
      <w:jc w:val="center"/>
    </w:pPr>
    <w:rPr>
      <w:b/>
      <w:bCs/>
      <w:color w:val="000000"/>
      <w:sz w:val="36"/>
      <w:szCs w:val="32"/>
      <w:lang w:val="x-none" w:eastAsia="x-none"/>
    </w:rPr>
  </w:style>
  <w:style w:type="paragraph" w:styleId="ConsPlusNonformat" w:customStyle="1">
    <w:name w:val="ConsPlusNonformat"/>
    <w:uiPriority w:val="99"/>
    <w:qFormat/>
    <w:rsid w:val="00f62a60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NormalWeb">
    <w:name w:val="Normal (Web)"/>
    <w:basedOn w:val="Normal"/>
    <w:uiPriority w:val="99"/>
    <w:unhideWhenUsed/>
    <w:qFormat/>
    <w:rsid w:val="00f62a60"/>
    <w:pPr>
      <w:spacing w:beforeAutospacing="1" w:afterAutospacing="1"/>
    </w:pPr>
    <w:rPr>
      <w:lang w:val="en-GB" w:eastAsia="en-GB"/>
    </w:rPr>
  </w:style>
  <w:style w:type="paragraph" w:styleId="ConsNonformat" w:customStyle="1">
    <w:name w:val="ConsNonformat"/>
    <w:qFormat/>
    <w:rsid w:val="00f62a60"/>
    <w:pPr>
      <w:widowControl w:val="false"/>
      <w:overflowPunct w:val="true"/>
      <w:bidi w:val="0"/>
      <w:spacing w:before="0" w:after="0"/>
      <w:jc w:val="left"/>
      <w:textAlignment w:val="baseline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Normal" w:customStyle="1">
    <w:name w:val="ConsNormal"/>
    <w:qFormat/>
    <w:rsid w:val="00f62a60"/>
    <w:pPr>
      <w:widowControl w:val="false"/>
      <w:bidi w:val="0"/>
      <w:spacing w:before="0" w:after="0"/>
      <w:ind w:firstLine="720" w:right="19772"/>
      <w:jc w:val="left"/>
    </w:pPr>
    <w:rPr>
      <w:rFonts w:ascii="Arial" w:hAnsi="Arial" w:cs="Arial" w:eastAsia="Times New Roman"/>
      <w:color w:val="auto"/>
      <w:kern w:val="0"/>
      <w:sz w:val="24"/>
      <w:szCs w:val="24"/>
      <w:lang w:val="ru-RU" w:eastAsia="ru-RU" w:bidi="ar-SA"/>
    </w:rPr>
  </w:style>
  <w:style w:type="paragraph" w:styleId="Style21" w:customStyle="1">
    <w:name w:val="Знак"/>
    <w:basedOn w:val="Normal"/>
    <w:qFormat/>
    <w:rsid w:val="00f62a60"/>
    <w:pPr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ConsPlusCell" w:customStyle="1">
    <w:name w:val="ConsPlusCell"/>
    <w:qFormat/>
    <w:rsid w:val="00f62a60"/>
    <w:pPr>
      <w:widowControl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ListParagraph">
    <w:name w:val="List Paragraph"/>
    <w:basedOn w:val="Normal"/>
    <w:uiPriority w:val="34"/>
    <w:qFormat/>
    <w:rsid w:val="00f62a60"/>
    <w:pPr>
      <w:spacing w:before="0" w:after="0"/>
      <w:ind w:left="720"/>
      <w:contextualSpacing/>
    </w:pPr>
    <w:rPr/>
  </w:style>
  <w:style w:type="paragraph" w:styleId="Style22" w:customStyle="1">
    <w:name w:val="Таблицы (моноширинный)"/>
    <w:basedOn w:val="Normal"/>
    <w:next w:val="Normal"/>
    <w:qFormat/>
    <w:rsid w:val="00f62a60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Style23" w:customStyle="1">
    <w:name w:val="Комментарий"/>
    <w:basedOn w:val="Normal"/>
    <w:next w:val="Normal"/>
    <w:uiPriority w:val="99"/>
    <w:qFormat/>
    <w:rsid w:val="00f62a60"/>
    <w:pPr>
      <w:spacing w:before="75" w:after="0"/>
      <w:ind w:left="170"/>
      <w:jc w:val="both"/>
    </w:pPr>
    <w:rPr>
      <w:rFonts w:ascii="Arial" w:hAnsi="Arial" w:cs="Arial"/>
      <w:color w:val="353842"/>
      <w:shd w:fill="F0F0F0" w:val="clear"/>
    </w:rPr>
  </w:style>
  <w:style w:type="paragraph" w:styleId="Style24" w:customStyle="1">
    <w:name w:val="Информация об изменениях документа"/>
    <w:basedOn w:val="Style23"/>
    <w:next w:val="Normal"/>
    <w:uiPriority w:val="99"/>
    <w:qFormat/>
    <w:rsid w:val="00f62a60"/>
    <w:pPr/>
    <w:rPr>
      <w:i/>
      <w:iCs/>
    </w:rPr>
  </w:style>
  <w:style w:type="paragraph" w:styleId="BodyTextIndent">
    <w:name w:val="Body Text Indent"/>
    <w:basedOn w:val="Normal"/>
    <w:link w:val="Style15"/>
    <w:rsid w:val="000d201c"/>
    <w:pPr>
      <w:spacing w:before="0" w:after="120"/>
      <w:ind w:left="283"/>
    </w:pPr>
    <w:rPr>
      <w:lang w:val="x-none" w:eastAsia="x-none"/>
    </w:rPr>
  </w:style>
  <w:style w:type="paragraph" w:styleId="BalloonText">
    <w:name w:val="Balloon Text"/>
    <w:basedOn w:val="Normal"/>
    <w:link w:val="Style16"/>
    <w:qFormat/>
    <w:rsid w:val="006e2592"/>
    <w:pPr/>
    <w:rPr>
      <w:rFonts w:ascii="Tahoma" w:hAnsi="Tahoma"/>
      <w:sz w:val="16"/>
      <w:szCs w:val="16"/>
      <w:lang w:val="x-none" w:eastAsia="x-none"/>
    </w:rPr>
  </w:style>
  <w:style w:type="paragraph" w:styleId="Style25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790ff3"/>
    <w:pPr>
      <w:tabs>
        <w:tab w:val="clear" w:pos="708"/>
        <w:tab w:val="center" w:pos="4677" w:leader="none"/>
        <w:tab w:val="right" w:pos="9355" w:leader="none"/>
      </w:tabs>
    </w:pPr>
    <w:rPr>
      <w:lang w:val="x-none" w:eastAsia="x-none"/>
    </w:rPr>
  </w:style>
  <w:style w:type="paragraph" w:styleId="Footer">
    <w:name w:val="Footer"/>
    <w:basedOn w:val="Normal"/>
    <w:link w:val="Style18"/>
    <w:uiPriority w:val="99"/>
    <w:rsid w:val="00790ff3"/>
    <w:pPr>
      <w:tabs>
        <w:tab w:val="clear" w:pos="708"/>
        <w:tab w:val="center" w:pos="4677" w:leader="none"/>
        <w:tab w:val="right" w:pos="9355" w:leader="none"/>
      </w:tabs>
    </w:pPr>
    <w:rPr>
      <w:lang w:val="x-none" w:eastAsia="x-none"/>
    </w:rPr>
  </w:style>
  <w:style w:type="paragraph" w:styleId="Style26" w:customStyle="1">
    <w:name w:val="Прижатый влево"/>
    <w:basedOn w:val="Normal"/>
    <w:next w:val="Normal"/>
    <w:uiPriority w:val="99"/>
    <w:qFormat/>
    <w:rsid w:val="00a34616"/>
    <w:pPr/>
    <w:rPr>
      <w:rFonts w:ascii="Arial" w:hAnsi="Arial" w:eastAsia="Calibri" w:cs="Arial" w:eastAsiaTheme="minorHAnsi"/>
      <w:lang w:eastAsia="en-US"/>
    </w:rPr>
  </w:style>
  <w:style w:type="paragraph" w:styleId="NoSpacing">
    <w:name w:val="No Spacing"/>
    <w:uiPriority w:val="1"/>
    <w:qFormat/>
    <w:rsid w:val="00bd2bfc"/>
    <w:pPr>
      <w:widowControl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Iauiue" w:customStyle="1">
    <w:name w:val="Iau?iue"/>
    <w:qFormat/>
    <w:rsid w:val="000040ed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en-US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f62a6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consultant.ru/document/cons_doc_LAW_8824/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95C1D-22D2-4530-800E-E9FCCF811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LibreOffice/7.6.7.2$Linux_X86_64 LibreOffice_project/60$Build-2</Application>
  <AppVersion>15.0000</AppVersion>
  <Pages>6</Pages>
  <Words>1371</Words>
  <Characters>9560</Characters>
  <CharactersWithSpaces>10838</CharactersWithSpaces>
  <Paragraphs>153</Paragraphs>
  <Company>NhT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2025-11-12T10:54:00Z</dcterms:created>
  <dc:creator>1</dc:creator>
  <dc:description/>
  <dc:language>ru-RU</dc:language>
  <cp:lastModifiedBy/>
  <cp:lastPrinted>2025-11-13T13:50:51Z</cp:lastPrinted>
  <dcterms:modified xsi:type="dcterms:W3CDTF">2025-11-13T14:01:13Z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